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</w:p>
    <w:p>
      <w:pPr>
        <w:spacing w:after="60"/>
        <w:jc w:val="center"/>
      </w:pPr>
      <w:r>
        <w:rPr>
          <w:rFonts w:ascii="Calibri" w:cs="Calibri" w:eastAsia="Calibri" w:hAnsi="Calibri"/>
          <w:b/>
          <w:bCs/>
          <w:color w:val="4472C4"/>
          <w:spacing w:val="200"/>
          <w:sz w:val="20"/>
          <w:szCs w:val="20"/>
        </w:rPr>
        <w:t xml:space="preserve">BUSINESS RESILIENCE PULSE CHECK</w:t>
      </w:r>
    </w:p>
    <w:p>
      <w:pPr>
        <w:pBdr>
          <w:bottom w:val="single" w:color="4472C4" w:sz="6" w:space="1"/>
        </w:pBdr>
        <w:spacing w:after="200"/>
        <w:jc w:val="center"/>
      </w:pPr>
    </w:p>
    <w:p>
      <w:pPr>
        <w:spacing w:after="40"/>
        <w:jc w:val="center"/>
      </w:pPr>
      <w:r>
        <w:rPr>
          <w:rFonts w:ascii="Calibri" w:cs="Calibri" w:eastAsia="Calibri" w:hAnsi="Calibri"/>
          <w:color w:val="555555"/>
          <w:sz w:val="20"/>
          <w:szCs w:val="20"/>
        </w:rPr>
        <w:t xml:space="preserve">PC-704</w:t>
      </w:r>
    </w:p>
    <w:p>
      <w:pPr>
        <w:spacing w:after="120"/>
        <w:jc w:val="center"/>
      </w:pPr>
      <w:r>
        <w:rPr>
          <w:rFonts w:ascii="Calibri" w:cs="Calibri" w:eastAsia="Calibri" w:hAnsi="Calibri"/>
          <w:b/>
          <w:bCs/>
          <w:color w:val="1B2A4A"/>
          <w:sz w:val="48"/>
          <w:szCs w:val="48"/>
        </w:rPr>
        <w:t xml:space="preserve">Observer Training Guide</w:t>
      </w:r>
    </w:p>
    <w:p>
      <w:pPr>
        <w:spacing w:after="200"/>
        <w:jc w:val="center"/>
      </w:pPr>
      <w:r>
        <w:rPr>
          <w:rFonts w:ascii="Calibri" w:cs="Calibri" w:eastAsia="Calibri" w:hAnsi="Calibri"/>
          <w:i/>
          <w:iCs/>
          <w:color w:val="2E5090"/>
          <w:sz w:val="24"/>
          <w:szCs w:val="24"/>
        </w:rPr>
        <w:t xml:space="preserve">Learning to see what the room reveals</w:t>
      </w:r>
    </w:p>
    <w:p>
      <w:pPr>
        <w:pBdr>
          <w:top w:val="single" w:color="4472C4" w:sz="6" w:space="1"/>
        </w:pBdr>
        <w:spacing w:after="60"/>
        <w:jc w:val="center"/>
      </w:pPr>
    </w:p>
    <w:p>
      <w:pPr>
        <w:spacing w:after="600"/>
        <w:jc w:val="center"/>
      </w:pPr>
      <w:r>
        <w:rPr>
          <w:rFonts w:ascii="Calibri" w:cs="Calibri" w:eastAsia="Calibri" w:hAnsi="Calibri"/>
          <w:color w:val="555555"/>
          <w:sz w:val="20"/>
          <w:szCs w:val="20"/>
        </w:rPr>
        <w:t xml:space="preserve">Internal Operations  |  Version 1.0  |  July 2026</w:t>
      </w:r>
    </w:p>
    <w:p>
      <w:pPr>
        <w:spacing w:after="120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"1-2"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  <w:spacing w:after="20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Section 1: The Observer Role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The observer is the AAR’s primary data source. While the facilitator drives the discussion, the observer captures what actually happens: decisions made, questions unanswered, disagreements surfaced, assumptions revealed, strengths demonstrated.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The observer never participates in the discussion. Never offers opinions, answers, or corrections. Never makes eye contact that invites a response. The observer is invisible ,  and that invisibility is what makes the observations trustworthy.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This is a skilled role that improves with practice. Your first observation will feel overwhelming. That’s normal.</w:t>
      </w:r>
    </w:p>
    <w:p>
      <w:pPr>
        <w:spacing w:after="120"/>
      </w:pPr>
    </w:p>
    <w:p>
      <w:pPr>
        <w:pStyle w:val="Heading1"/>
        <w:spacing w:after="20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Section 2: The Three Skills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Effective observation rests on three core skills. Each builds on the one before it.</w:t>
      </w:r>
    </w:p>
    <w:p>
      <w:pPr>
        <w:spacing w:after="60"/>
      </w:pPr>
    </w:p>
    <w:p>
      <w:pPr>
        <w:pStyle w:val="Heading2"/>
        <w:spacing w:after="160" w:before="300"/>
      </w:pPr>
      <w:r>
        <w:rPr>
          <w:rFonts w:ascii="Calibri" w:cs="Calibri" w:eastAsia="Calibri" w:hAnsi="Calibri"/>
          <w:b/>
          <w:bCs/>
          <w:color w:val="2E5090"/>
          <w:sz w:val="26"/>
          <w:szCs w:val="26"/>
        </w:rPr>
        <w:t xml:space="preserve">2.1 Selective Attention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You cannot capture everything. You shouldn’t try. Focus on decision points ,  the moments where participants must choose a course of action.</w:t>
      </w:r>
    </w:p>
    <w:p>
      <w:pPr>
        <w:spacing w:after="160"/>
        <w:jc w:val="left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What to prioritize: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Who spoke first (often reveals authority structure)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What questions went unanswered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Where the group got stuck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Where they moved too fast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What they assumed without verifying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What they did well</w:t>
      </w:r>
    </w:p>
    <w:p>
      <w:pPr>
        <w:spacing w:after="40"/>
      </w:pPr>
    </w:p>
    <w:p>
      <w:pPr>
        <w:spacing w:after="160"/>
        <w:jc w:val="left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What to let go: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Side conversations that don’t affect decisions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Logistical details about the exercise itself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Restating things already captured</w:t>
      </w:r>
    </w:p>
    <w:p>
      <w:pPr>
        <w:spacing w:after="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4472C4" w:sz="1"/>
              <w:left w:val="single" w:color="4472C4" w:sz="12"/>
              <w:bottom w:val="single" w:color="4472C4" w:sz="1"/>
              <w:right w:val="single" w:color="4472C4" w:sz="1"/>
            </w:tcBorders>
            <w:shd w:fill="E8EDF5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color w:val="1B2A4A"/>
                <w:sz w:val="22"/>
                <w:szCs w:val="22"/>
              </w:rPr>
              <w:t xml:space="preserve">A useful mental filter: “Would this become a finding in the AAR?” If yes, capture it. If maybe, capture a shorthand note and move on.</w:t>
            </w:r>
          </w:p>
        </w:tc>
      </w:tr>
    </w:tbl>
    <w:p>
      <w:pPr>
        <w:spacing w:after="120"/>
      </w:pPr>
    </w:p>
    <w:p>
      <w:pPr>
        <w:pStyle w:val="Heading2"/>
        <w:spacing w:after="160" w:before="300"/>
      </w:pPr>
      <w:r>
        <w:rPr>
          <w:rFonts w:ascii="Calibri" w:cs="Calibri" w:eastAsia="Calibri" w:hAnsi="Calibri"/>
          <w:b/>
          <w:bCs/>
          <w:color w:val="2E5090"/>
          <w:sz w:val="26"/>
          <w:szCs w:val="26"/>
        </w:rPr>
        <w:t xml:space="preserve">2.2 Real-Time Note-Taking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The Observer Kit (05 - Deliver) provides a structured template. Before the exercise, pre-populate it with participant names, roles, the objectives, and the expected inject sequence.</w:t>
      </w:r>
    </w:p>
    <w:p>
      <w:pPr>
        <w:spacing w:after="160"/>
        <w:jc w:val="left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Note-taking mechanics that work: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Use timestamps continuously ,  even rough ones (every 2–3 minutes). They help you reconstruct the timeline later.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Capture direct quotes by role, not name: </w:t>
      </w:r>
      <w:r>
        <w:rPr>
          <w:rFonts w:ascii="Calibri" w:cs="Calibri" w:eastAsia="Calibri" w:hAnsi="Calibri"/>
          <w:i/>
          <w:iCs/>
          <w:color w:val="333333"/>
          <w:sz w:val="22"/>
          <w:szCs w:val="22"/>
        </w:rPr>
        <w:t xml:space="preserve">“CFO: ‘I’d need to call our broker but I don’t have the number.’”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 This becomes a finding.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Use the seven-category codes (DM, CM, PR, RC, KG, GD, ST) as shorthand in the margin. You’ll categorize fully in your post-exercise compilation.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Develop personal shorthand: </w:t>
      </w: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→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 for “led to”, </w:t>
      </w: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?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 for “uncertainty”, </w:t>
      </w: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!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 for “strong response”, </w:t>
      </w: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∅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 for “gap/absence”, </w:t>
      </w: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✓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 for “strength demonstrated”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Leave blank space between entries. You’ll fill gaps from memory during compilation.</w:t>
      </w:r>
    </w:p>
    <w:p>
      <w:pPr>
        <w:spacing w:after="40"/>
      </w:pPr>
    </w:p>
    <w:p>
      <w:pPr>
        <w:spacing w:after="160"/>
        <w:jc w:val="left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Typing vs. handwriting: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 Either works. Typing is faster and more legible; handwriting is less visually intrusive in the room. If typing, angle your screen away from participants and minimize keyboard noise. If virtual, keep yourself muted unless addressed.</w:t>
      </w:r>
    </w:p>
    <w:p>
      <w:pPr>
        <w:spacing w:after="120"/>
      </w:pPr>
    </w:p>
    <w:p>
      <w:pPr>
        <w:pStyle w:val="Heading2"/>
        <w:spacing w:after="160" w:before="300"/>
      </w:pPr>
      <w:r>
        <w:rPr>
          <w:rFonts w:ascii="Calibri" w:cs="Calibri" w:eastAsia="Calibri" w:hAnsi="Calibri"/>
          <w:b/>
          <w:bCs/>
          <w:color w:val="2E5090"/>
          <w:sz w:val="26"/>
          <w:szCs w:val="26"/>
        </w:rPr>
        <w:t xml:space="preserve">2.3 Observation-to-Data Translation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Raw notes are not findings. After the exercise, you compile your notes into structured data the facilitator uses to write the AAR.</w:t>
      </w:r>
    </w:p>
    <w:p>
      <w:pPr>
        <w:spacing w:after="160"/>
        <w:jc w:val="left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Within 24 hours of the exercise, compile your notes into the post-exercise summary format in the Observer Kit: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Top 3 strengths observed (with specific evidence)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Top 3 gaps observed (with specific evidence)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Sensitive handling observations (anything that needs careful framing)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Engagement assessment (who was active, who was disengaged, what that might mean)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Scenario effectiveness (did the scenario work? which injects landed? which fell flat?)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Things the facilitator may have missed (you see what they can’t while they’re facilitating)</w:t>
      </w:r>
    </w:p>
    <w:p>
      <w:pPr>
        <w:spacing w:after="40"/>
      </w:pP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The facilitator-observer debrief (within 2 hours of the exercise) is where you align on what you both saw. The facilitator will have impressions; you’ll have data. Both matter.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Section 3: Practice Exercises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Three exercises to complete before your first real observation. They build progressive confidence.</w:t>
      </w:r>
    </w:p>
    <w:p>
      <w:pPr>
        <w:spacing w:after="60"/>
      </w:pPr>
    </w:p>
    <w:p>
      <w:pPr>
        <w:pStyle w:val="Heading2"/>
        <w:spacing w:after="160" w:before="300"/>
      </w:pPr>
      <w:r>
        <w:rPr>
          <w:rFonts w:ascii="Calibri" w:cs="Calibri" w:eastAsia="Calibri" w:hAnsi="Calibri"/>
          <w:b/>
          <w:bCs/>
          <w:color w:val="2E5090"/>
          <w:sz w:val="26"/>
          <w:szCs w:val="26"/>
        </w:rPr>
        <w:t xml:space="preserve">Exercise 1: Meeting Observation (1 hour)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Attend any internal meeting (staff meeting, project review, planning session) purely as an observer. Don’t participate.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Use the seven-category framework from the Observer Kit and take notes as if this were a tabletop exercise: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Decision-Making (DM):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How were decisions made? Who decided? Was there consensus or authority?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Communication (CM):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How did information flow? Who talked to whom? What wasn’t said?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Role Clarity (RC):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Did people know their responsibilities? Were there overlaps or gaps?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Knowledge Gaps (KG):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What questions couldn’t be answered?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Group Dynamics (GD):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Who dominated? Who was silent? How was disagreement handled?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Strengths (ST):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What worked well?</w:t>
      </w:r>
    </w:p>
    <w:p>
      <w:pPr>
        <w:spacing w:after="40"/>
      </w:pP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Afterward, write 3 practice findings from your observations using the four-part structure (Observation, Context and Risk Impact, Recommendation, Severity). These don’t need to be good ,  they need to exist. Compare them against the Sample Findings Library for tone and structure.</w:t>
      </w:r>
    </w:p>
    <w:p>
      <w:pPr>
        <w:spacing w:after="120"/>
      </w:pPr>
    </w:p>
    <w:p>
      <w:pPr>
        <w:pStyle w:val="Heading2"/>
        <w:spacing w:after="160" w:before="300"/>
      </w:pPr>
      <w:r>
        <w:rPr>
          <w:rFonts w:ascii="Calibri" w:cs="Calibri" w:eastAsia="Calibri" w:hAnsi="Calibri"/>
          <w:b/>
          <w:bCs/>
          <w:color w:val="2E5090"/>
          <w:sz w:val="26"/>
          <w:szCs w:val="26"/>
        </w:rPr>
        <w:t xml:space="preserve">Exercise 2: Video Observation (1–2 hours)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Find a recorded tabletop exercise, panel discussion, or crisis simulation on YouTube (search “tabletop exercise” or “crisis simulation”). FEMA publishes several.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Watch with your note-taking template open. Practice: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Timestamping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Capturing quotes by role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Using the seven-category codes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Identifying potential findings</w:t>
      </w:r>
    </w:p>
    <w:p>
      <w:pPr>
        <w:spacing w:after="40"/>
      </w:pP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Compare your notes against any debrief or AAR published with the video.</w:t>
      </w:r>
    </w:p>
    <w:p>
      <w:pPr>
        <w:spacing w:after="120"/>
      </w:pPr>
    </w:p>
    <w:p>
      <w:pPr>
        <w:pStyle w:val="Heading2"/>
        <w:spacing w:after="160" w:before="300"/>
      </w:pPr>
      <w:r>
        <w:rPr>
          <w:rFonts w:ascii="Calibri" w:cs="Calibri" w:eastAsia="Calibri" w:hAnsi="Calibri"/>
          <w:b/>
          <w:bCs/>
          <w:color w:val="2E5090"/>
          <w:sz w:val="26"/>
          <w:szCs w:val="26"/>
        </w:rPr>
        <w:t xml:space="preserve">Exercise 3: Dry Run Observation (2–3 hours)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Serve as observer during the facilitator’s internal dry run (see Facilitator Training Plan).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This is the most important practice exercise because it’s the closest to the real thing. You’ll be nervous. You’ll miss things. That’s fine.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After the dry run, complete the full post-exercise compilation. Give the facilitator honest feedback. Then have the facilitator give you feedback on your notes: were they specific enough? Did they capture what the facilitator also noticed? What did they miss?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Section 4: Common Observer Mistakes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The table below captures the most frequent mistakes new observers make and what to do instead.</w:t>
      </w:r>
    </w:p>
    <w:p>
      <w:pPr>
        <w:spacing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76"/>
        <w:gridCol w:w="6084"/>
      </w:tblGrid>
      <w:tr>
        <w:trPr>
          <w:tblHeader/>
        </w:trPr>
        <w:tc>
          <w:tcPr>
            <w:tcW w:type="dxa" w:w="3276"/>
            <w:shd w:fill="2E5090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Mistake</w:t>
            </w:r>
          </w:p>
        </w:tc>
        <w:tc>
          <w:tcPr>
            <w:tcW w:type="dxa" w:w="6084"/>
            <w:shd w:fill="2E5090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to Do Instead</w:t>
            </w:r>
          </w:p>
        </w:tc>
      </w:tr>
      <w:tr>
        <w:tc>
          <w:tcPr>
            <w:tcW w:type="dxa" w:w="327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Trying to capture everything</w:t>
            </w:r>
          </w:p>
        </w:tc>
        <w:tc>
          <w:tcPr>
            <w:tcW w:type="dxa" w:w="6084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Focus on decision points and the seven categories. Completeness is impossible; selectivity is the skill.</w:t>
            </w:r>
          </w:p>
        </w:tc>
      </w:tr>
      <w:tr>
        <w:tc>
          <w:tcPr>
            <w:tcW w:type="dxa" w:w="3276"/>
            <w:shd w:fill="F2F5F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Making eye contact with participants</w:t>
            </w:r>
          </w:p>
        </w:tc>
        <w:tc>
          <w:tcPr>
            <w:tcW w:type="dxa" w:w="6084"/>
            <w:shd w:fill="F2F5F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Position yourself where you can see faces but participants aren’t looking directly at you. In virtual settings, turn your camera off if the facilitator agrees.</w:t>
            </w:r>
          </w:p>
        </w:tc>
      </w:tr>
      <w:tr>
        <w:tc>
          <w:tcPr>
            <w:tcW w:type="dxa" w:w="327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Reacting visibly to what you hear</w:t>
            </w:r>
          </w:p>
        </w:tc>
        <w:tc>
          <w:tcPr>
            <w:tcW w:type="dxa" w:w="6084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No nodding, no frowning, no sighing. Participants adjust their behavior if they think they’re being judged.</w:t>
            </w:r>
          </w:p>
        </w:tc>
      </w:tr>
      <w:tr>
        <w:tc>
          <w:tcPr>
            <w:tcW w:type="dxa" w:w="3276"/>
            <w:shd w:fill="F2F5F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Waiting too long to compile notes</w:t>
            </w:r>
          </w:p>
        </w:tc>
        <w:tc>
          <w:tcPr>
            <w:tcW w:type="dxa" w:w="6084"/>
            <w:shd w:fill="F2F5F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Compile within 24 hours. Memory degrades fast. Even rough notes become usable data if compiled quickly.</w:t>
            </w:r>
          </w:p>
        </w:tc>
      </w:tr>
      <w:tr>
        <w:tc>
          <w:tcPr>
            <w:tcW w:type="dxa" w:w="327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Writing interpretations instead of observations</w:t>
            </w:r>
          </w:p>
        </w:tc>
        <w:tc>
          <w:tcPr>
            <w:tcW w:type="dxa" w:w="6084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“The CFO didn’t know the insurance notification deadline” is an observation. “The CFO was unprepared” is an interpretation. Observations belong in notes; interpretations belong in findings (and only if supported by evidence).</w:t>
            </w:r>
          </w:p>
        </w:tc>
      </w:tr>
      <w:tr>
        <w:tc>
          <w:tcPr>
            <w:tcW w:type="dxa" w:w="3276"/>
            <w:shd w:fill="F2F5F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Forgetting to capture strengths</w:t>
            </w:r>
          </w:p>
        </w:tc>
        <w:tc>
          <w:tcPr>
            <w:tcW w:type="dxa" w:w="6084"/>
            <w:shd w:fill="F2F5F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The natural tendency is to notice what went wrong. Actively look for what went right ,  effective escalation, good cross-departmental communication, calm leadership under pressure. Minimum 3 strength observations per exercise.</w:t>
            </w:r>
          </w:p>
        </w:tc>
      </w:tr>
      <w:tr>
        <w:tc>
          <w:tcPr>
            <w:tcW w:type="dxa" w:w="327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Participating in the discussion</w:t>
            </w:r>
          </w:p>
        </w:tc>
        <w:tc>
          <w:tcPr>
            <w:tcW w:type="dxa" w:w="6084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Never. If a participant addresses you directly, the facilitator redirects. If the facilitator doesn’t, a quiet “I’m just here to observe” is sufficient.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Section 5: Observer Ethics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Observations describe organizational capabilities, not individual performance. Never attribute failures to specific people.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If you observe something that suggests a participant is in genuine distress (not exercise-related stress), quietly alert the facilitator during a break.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If a participant reveals a real security concern during the exercise (e.g., “actually, I think we were breached last month”), note it and alert the facilitator during the next break.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Observer notes are confidential working documents. They are never distributed to the client. They are destroyed after the final AAR is delivered.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If the exercise is being conducted under attorney-client privilege, your notes are privileged working documents and must be handled accordingly per the SOW terms.</w:t>
      </w:r>
    </w:p>
    <w:p>
      <w:pPr>
        <w:spacing w:after="120"/>
      </w:pPr>
    </w:p>
    <w:p>
      <w:pPr>
        <w:pStyle w:val="Heading1"/>
        <w:spacing w:after="20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Section 6: Readiness Checklist</w:t>
      </w:r>
    </w:p>
    <w:p>
      <w:pPr>
        <w:spacing w:after="1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Complete the following before serving as observer on a live Pulse Check engagement:</w:t>
      </w:r>
    </w:p>
    <w:p>
      <w:pPr>
        <w:spacing w:after="60"/>
      </w:pPr>
    </w:p>
    <w:p>
      <w:pPr>
        <w:spacing w:after="1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☐ I have read the Observer Kit (05 - Deliver) ,  both Part 1 (Guide) and Part 2 (Template)</w:t>
      </w:r>
    </w:p>
    <w:p>
      <w:pPr>
        <w:spacing w:after="1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☐ I understand the seven-category observation framework and can identify each category without looking them up</w:t>
      </w:r>
    </w:p>
    <w:p>
      <w:pPr>
        <w:spacing w:after="1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☐ I have completed at least one practice observation exercise (meeting, video, or both)</w:t>
      </w:r>
    </w:p>
    <w:p>
      <w:pPr>
        <w:spacing w:after="1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☐ I have practiced the note-taking template with timestamps and category codes</w:t>
      </w:r>
    </w:p>
    <w:p>
      <w:pPr>
        <w:spacing w:after="1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☐ I know the ethics boundaries: what I capture, what I don’t, and who sees my notes</w:t>
      </w:r>
    </w:p>
    <w:p>
      <w:pPr>
        <w:spacing w:after="1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☐ I have reviewed the Real Incident During Exercise Protocol in the Facilitator Guide</w:t>
      </w:r>
    </w:p>
    <w:p>
      <w:pPr>
        <w:spacing w:after="1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☐ I have discussed my role with the facilitator and we have aligned on positioning, communication during breaks, and the post-exercise debrief plan</w:t>
      </w:r>
    </w:p>
    <w:p>
      <w:pPr>
        <w:spacing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4472C4" w:sz="1"/>
              <w:left w:val="single" w:color="4472C4" w:sz="12"/>
              <w:bottom w:val="single" w:color="4472C4" w:sz="1"/>
              <w:right w:val="single" w:color="4472C4" w:sz="1"/>
            </w:tcBorders>
            <w:shd w:fill="E8EDF5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color w:val="1B2A4A"/>
                <w:sz w:val="22"/>
                <w:szCs w:val="22"/>
              </w:rPr>
              <w:t xml:space="preserve">The first time you observe a real exercise, you will miss things. The observer skill compounds with practice ,  each observation is better than the last. The gap between your first and your fifth observation will surprise you.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Business Resilience Pulse Check  |  Confidential  |  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color w:val="999999"/>
        <w:sz w:val="16"/>
        <w:szCs w:val="16"/>
      </w:rPr>
      <w:t xml:space="preserve">PC-704 | Observer Training Guide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  <w:lvl w:ilvl="2" w15:tentative="1">
      <w:start w:val="1"/>
      <w:numFmt w:val="bullet"/>
      <w:lvlText w:val="–"/>
      <w:lvlJc w:val="left"/>
      <w:pPr>
        <w:ind w:left="216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2026-07-14T22:24:46.999Z</dcterms:created>
  <dcterms:modified xsi:type="dcterms:W3CDTF">2026-07-14T22:24:46.999Z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